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1A2BF" w14:textId="77777777" w:rsidR="003409F4" w:rsidRDefault="00C620B4">
      <w:pPr>
        <w:pStyle w:val="Pealkiri"/>
        <w:spacing w:after="240"/>
      </w:pPr>
      <w:r>
        <w:t>Kes tasub pärandaja arved ja laenud, kui pärimistunnistust veel ei ole?</w:t>
      </w:r>
    </w:p>
    <w:p w14:paraId="38BDD2FD" w14:textId="491DA331" w:rsidR="000D69D6" w:rsidRPr="000D69D6" w:rsidRDefault="000D69D6">
      <w:pPr>
        <w:pStyle w:val="Pealkiri"/>
        <w:spacing w:after="240"/>
        <w:rPr>
          <w:b/>
          <w:bCs/>
          <w:sz w:val="32"/>
          <w:szCs w:val="32"/>
        </w:rPr>
      </w:pPr>
      <w:r w:rsidRPr="000D69D6">
        <w:rPr>
          <w:b/>
          <w:bCs/>
          <w:sz w:val="32"/>
          <w:szCs w:val="32"/>
        </w:rPr>
        <w:t>Tallinna notar Rainis Int</w:t>
      </w:r>
    </w:p>
    <w:p w14:paraId="51ED38ED" w14:textId="77777777" w:rsidR="003409F4" w:rsidRPr="000D69D6" w:rsidRDefault="00C620B4" w:rsidP="00CE0901">
      <w:pPr>
        <w:spacing w:after="160"/>
        <w:jc w:val="both"/>
        <w:rPr>
          <w:sz w:val="24"/>
          <w:szCs w:val="24"/>
        </w:rPr>
      </w:pPr>
      <w:r w:rsidRPr="000D69D6">
        <w:rPr>
          <w:rFonts w:eastAsia="Calibri"/>
          <w:sz w:val="24"/>
          <w:szCs w:val="24"/>
        </w:rPr>
        <w:t>Inimese surmaga tema kohustused ei kao. Laenud, liisingud ja arved jäävad kehtima ning lähevad koos muu varaga üle pärijale – aga alles siis, kui pärija on pärandi vastu võtnud. Surmast pärimistunnistuse saamiseni kulub sageli mitu kuud. Mis selle aja jooksul tegelikult juhtub ja kes vahepeal maksab, ütleb pärimisseadus.</w:t>
      </w:r>
    </w:p>
    <w:p w14:paraId="14ADB723" w14:textId="77777777" w:rsidR="003409F4" w:rsidRPr="000D69D6" w:rsidRDefault="00C620B4" w:rsidP="00CE0901">
      <w:pPr>
        <w:spacing w:before="260" w:after="120"/>
        <w:jc w:val="both"/>
        <w:rPr>
          <w:sz w:val="24"/>
          <w:szCs w:val="24"/>
        </w:rPr>
      </w:pPr>
      <w:r w:rsidRPr="000D69D6">
        <w:rPr>
          <w:rFonts w:eastAsia="Calibri"/>
          <w:b/>
          <w:bCs/>
          <w:sz w:val="24"/>
          <w:szCs w:val="24"/>
        </w:rPr>
        <w:t>Pärand läheb üle surma hetkel, kuid otsustamiseks jääb aega</w:t>
      </w:r>
    </w:p>
    <w:p w14:paraId="675787CA" w14:textId="77777777" w:rsidR="003409F4" w:rsidRPr="000D69D6" w:rsidRDefault="00C620B4" w:rsidP="00CE0901">
      <w:pPr>
        <w:spacing w:after="160"/>
        <w:jc w:val="both"/>
        <w:rPr>
          <w:sz w:val="24"/>
          <w:szCs w:val="24"/>
        </w:rPr>
      </w:pPr>
      <w:r w:rsidRPr="000D69D6">
        <w:rPr>
          <w:rFonts w:eastAsia="Calibri"/>
          <w:sz w:val="24"/>
          <w:szCs w:val="24"/>
        </w:rPr>
        <w:t>Pärand avaneb inimese surmaga ja läheb sellel hetkel automaatselt üle pärijale – kohe ei pea midagi tegema. Pärijal on siiski kolm kuud aega otsustada, kas ta pärandi vastu võtab või sellest loobub. Tähtaeg hakkab kulgema hetkest, mil ta sai teada pärandaja surmast ja oma pärimisõigusest. Kui pärija selle aja jooksul ei loobu, loetakse ta pärandi vastu võtnuks.</w:t>
      </w:r>
    </w:p>
    <w:p w14:paraId="24013490" w14:textId="60A8EAF2" w:rsidR="003409F4" w:rsidRPr="000D69D6" w:rsidRDefault="00C620B4" w:rsidP="00CE0901">
      <w:pPr>
        <w:spacing w:before="260" w:after="120"/>
        <w:jc w:val="both"/>
        <w:rPr>
          <w:sz w:val="24"/>
          <w:szCs w:val="24"/>
        </w:rPr>
      </w:pPr>
      <w:r w:rsidRPr="000D69D6">
        <w:rPr>
          <w:rFonts w:eastAsia="Calibri"/>
          <w:b/>
          <w:bCs/>
          <w:sz w:val="24"/>
          <w:szCs w:val="24"/>
        </w:rPr>
        <w:t xml:space="preserve">Enne </w:t>
      </w:r>
      <w:r w:rsidR="00864516" w:rsidRPr="000D69D6">
        <w:rPr>
          <w:rFonts w:eastAsia="Calibri"/>
          <w:b/>
          <w:bCs/>
          <w:sz w:val="24"/>
          <w:szCs w:val="24"/>
        </w:rPr>
        <w:t xml:space="preserve">pärandi </w:t>
      </w:r>
      <w:r w:rsidRPr="000D69D6">
        <w:rPr>
          <w:rFonts w:eastAsia="Calibri"/>
          <w:b/>
          <w:bCs/>
          <w:sz w:val="24"/>
          <w:szCs w:val="24"/>
        </w:rPr>
        <w:t>vastuvõtmist ei saa pärijalt maksmist nõuda</w:t>
      </w:r>
    </w:p>
    <w:p w14:paraId="5D4A4C88" w14:textId="77777777" w:rsidR="003409F4" w:rsidRPr="000D69D6" w:rsidRDefault="00C620B4" w:rsidP="00CE0901">
      <w:pPr>
        <w:spacing w:after="160"/>
        <w:jc w:val="both"/>
        <w:rPr>
          <w:sz w:val="24"/>
          <w:szCs w:val="24"/>
        </w:rPr>
      </w:pPr>
      <w:r w:rsidRPr="000D69D6">
        <w:rPr>
          <w:rFonts w:eastAsia="Calibri"/>
          <w:sz w:val="24"/>
          <w:szCs w:val="24"/>
        </w:rPr>
        <w:t>Kuni pärija pole pärandit vastu võtnud, ei tohi temalt nõuda pärandaja kohustuste – näiteks laenumakse või arve – tasumist. See kaitseb pärijat just sel ajal, kui tal pole veel selgust ega pärimistunnistust käes. Erandiks on nõuded, mis on tagatud pandiõigusega mõnele pärandvara hulka kuuluvale esemele, näiteks hüpoteegiga koormatud kodu – neid võib nõuda ka varem, kui pärandi avanemisest on möödas üle kolme kuu. Lepingud ise kehtivad muidu edasi ja intress jookseb, seega tasub pärijatel pangaga varakult is</w:t>
      </w:r>
      <w:r w:rsidRPr="000D69D6">
        <w:rPr>
          <w:rFonts w:eastAsia="Calibri"/>
          <w:sz w:val="24"/>
          <w:szCs w:val="24"/>
        </w:rPr>
        <w:t>e ühendust võtta.</w:t>
      </w:r>
    </w:p>
    <w:p w14:paraId="0666DD8B" w14:textId="77777777" w:rsidR="003409F4" w:rsidRPr="000D69D6" w:rsidRDefault="00C620B4" w:rsidP="00CE0901">
      <w:pPr>
        <w:spacing w:before="260" w:after="120"/>
        <w:jc w:val="both"/>
        <w:rPr>
          <w:sz w:val="24"/>
          <w:szCs w:val="24"/>
        </w:rPr>
      </w:pPr>
      <w:r w:rsidRPr="000D69D6">
        <w:rPr>
          <w:rFonts w:eastAsia="Calibri"/>
          <w:b/>
          <w:bCs/>
          <w:sz w:val="24"/>
          <w:szCs w:val="24"/>
        </w:rPr>
        <w:t>Kui pole selge, kes pärib</w:t>
      </w:r>
    </w:p>
    <w:p w14:paraId="334DD2B2" w14:textId="77777777" w:rsidR="003409F4" w:rsidRPr="000D69D6" w:rsidRDefault="00C620B4" w:rsidP="00CE0901">
      <w:pPr>
        <w:spacing w:after="160"/>
        <w:jc w:val="both"/>
        <w:rPr>
          <w:sz w:val="24"/>
          <w:szCs w:val="24"/>
        </w:rPr>
      </w:pPr>
      <w:r w:rsidRPr="000D69D6">
        <w:rPr>
          <w:rFonts w:eastAsia="Calibri"/>
          <w:sz w:val="24"/>
          <w:szCs w:val="24"/>
        </w:rPr>
        <w:t>Kui pärija ei ole teada, ei viibi pärandvara juures või pole selge, kas keegi on pärandi vastu võtnud, võib kohus määrata pärandile hooldaja. Hooldaja ülesanne on hoida vara heaperemehelikult ning tasuda pärandvara arvelt jooksvad kohustused, näiteks kommunaalarved – nii ei jää vajalikud maksed katmata isegi siis, kui pärijaid pole veel leitud.</w:t>
      </w:r>
    </w:p>
    <w:p w14:paraId="4B98CF27" w14:textId="77777777" w:rsidR="003409F4" w:rsidRPr="000D69D6" w:rsidRDefault="00C620B4" w:rsidP="00CE0901">
      <w:pPr>
        <w:spacing w:before="260" w:after="120"/>
        <w:jc w:val="both"/>
        <w:rPr>
          <w:sz w:val="24"/>
          <w:szCs w:val="24"/>
        </w:rPr>
      </w:pPr>
      <w:r w:rsidRPr="000D69D6">
        <w:rPr>
          <w:rFonts w:eastAsia="Calibri"/>
          <w:b/>
          <w:bCs/>
          <w:sz w:val="24"/>
          <w:szCs w:val="24"/>
        </w:rPr>
        <w:t>Kui võlgu on rohkem kui vara</w:t>
      </w:r>
    </w:p>
    <w:p w14:paraId="404FF8DD" w14:textId="77777777" w:rsidR="003409F4" w:rsidRPr="000D69D6" w:rsidRDefault="00C620B4" w:rsidP="00CE0901">
      <w:pPr>
        <w:spacing w:after="160"/>
        <w:jc w:val="both"/>
        <w:rPr>
          <w:sz w:val="24"/>
          <w:szCs w:val="24"/>
        </w:rPr>
      </w:pPr>
      <w:r w:rsidRPr="000D69D6">
        <w:rPr>
          <w:rFonts w:eastAsia="Calibri"/>
          <w:sz w:val="24"/>
          <w:szCs w:val="24"/>
        </w:rPr>
        <w:t>Kui pärija kardab, et pärandaja võlad ületavad tema vara, ei pea ta sellepärast pärandist loobuma. Mõistlikum on pärand siiski vastu võtta ja seejärel taotleda notarilt pärandvara inventuuri. Inventuuri käigus selgitab kohtutäitur välja kõik pärandaja varad ja kohustused. Kui inventuur on tehtud, võib pärija taotleda kohtult pärandvara pankroti väljakuulutamist – nii tasutakse võlad ainult pärandvara arvelt ning pärija ei pea oma isiklikku vara kaotama. Nii jäävad pereasjad pereringi, selle asemel et pärand</w:t>
      </w:r>
      <w:r w:rsidRPr="000D69D6">
        <w:rPr>
          <w:rFonts w:eastAsia="Calibri"/>
          <w:sz w:val="24"/>
          <w:szCs w:val="24"/>
        </w:rPr>
        <w:t>ist loobumise korral läheks pärand edasi järgmisele pärijate ringile ja kaasneksid tarbetud arusaamatused kaugemate sugulastega.</w:t>
      </w:r>
    </w:p>
    <w:p w14:paraId="570B0D20" w14:textId="77777777" w:rsidR="003409F4" w:rsidRPr="000D69D6" w:rsidRDefault="00C620B4" w:rsidP="00CE0901">
      <w:pPr>
        <w:spacing w:before="260" w:after="120"/>
        <w:jc w:val="both"/>
        <w:rPr>
          <w:sz w:val="24"/>
          <w:szCs w:val="24"/>
        </w:rPr>
      </w:pPr>
      <w:r w:rsidRPr="000D69D6">
        <w:rPr>
          <w:rFonts w:eastAsia="Calibri"/>
          <w:b/>
          <w:bCs/>
          <w:sz w:val="24"/>
          <w:szCs w:val="24"/>
        </w:rPr>
        <w:t>Pärimistunnistus tõendab õigust, ei loo seda</w:t>
      </w:r>
    </w:p>
    <w:p w14:paraId="5E037278" w14:textId="77777777" w:rsidR="003409F4" w:rsidRPr="000D69D6" w:rsidRDefault="00C620B4" w:rsidP="00CE0901">
      <w:pPr>
        <w:spacing w:after="160"/>
        <w:jc w:val="both"/>
        <w:rPr>
          <w:sz w:val="24"/>
          <w:szCs w:val="24"/>
        </w:rPr>
      </w:pPr>
      <w:r w:rsidRPr="000D69D6">
        <w:rPr>
          <w:rFonts w:eastAsia="Calibri"/>
          <w:sz w:val="24"/>
          <w:szCs w:val="24"/>
        </w:rPr>
        <w:t>Notar väljastab pärimistunnistuse alles siis, kui pärija õigus ja selle ulatus on piisavalt selge – tavaliselt mitte varem kui kuu aega pärast pärimismenetluse algatamisest teatamist. Tunnistus ei tee kedagi pärijaks, vaid tõendab juba tekkinud õigust: seda läheb vaja eelkõige selleks, et pärija saaks oma õigust pangale, kinnistusraamatule või muudele osapooltele tõendada.</w:t>
      </w:r>
    </w:p>
    <w:p w14:paraId="454B4A5F" w14:textId="77777777" w:rsidR="003409F4" w:rsidRPr="000D69D6" w:rsidRDefault="00C620B4" w:rsidP="00CE0901">
      <w:pPr>
        <w:pBdr>
          <w:top w:val="single" w:sz="6" w:space="0" w:color="1F6F5C"/>
          <w:left w:val="single" w:sz="6" w:space="0" w:color="1F6F5C"/>
          <w:bottom w:val="single" w:sz="6" w:space="0" w:color="1F6F5C"/>
          <w:right w:val="single" w:sz="6" w:space="0" w:color="1F6F5C"/>
        </w:pBdr>
        <w:shd w:val="clear" w:color="auto" w:fill="EAF3F0"/>
        <w:spacing w:before="120" w:after="200"/>
        <w:ind w:left="120" w:right="120"/>
        <w:jc w:val="both"/>
        <w:rPr>
          <w:sz w:val="24"/>
          <w:szCs w:val="24"/>
        </w:rPr>
      </w:pPr>
      <w:r w:rsidRPr="000D69D6">
        <w:rPr>
          <w:rFonts w:eastAsia="Calibri"/>
          <w:b/>
          <w:bCs/>
          <w:sz w:val="24"/>
          <w:szCs w:val="24"/>
        </w:rPr>
        <w:t>Pane tähele!</w:t>
      </w:r>
      <w:r w:rsidRPr="000D69D6">
        <w:rPr>
          <w:rFonts w:eastAsia="Calibri"/>
          <w:sz w:val="24"/>
          <w:szCs w:val="24"/>
        </w:rPr>
        <w:t xml:space="preserve">  Lähedaste elu saab hõlbustada juba eluajal. Tasub hoida korrastatud ülevaadet oma varadest, laenudest, liisingutest ja muudest kohustustest ning kindlustustest, ja anda lähedastele teada, kust seda infot vajadusel leida.</w:t>
      </w:r>
    </w:p>
    <w:sectPr w:rsidR="003409F4" w:rsidRPr="000D69D6">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F0591D"/>
    <w:multiLevelType w:val="hybridMultilevel"/>
    <w:tmpl w:val="EA1CDC78"/>
    <w:lvl w:ilvl="0" w:tplc="63B8FC84">
      <w:start w:val="1"/>
      <w:numFmt w:val="bullet"/>
      <w:lvlText w:val="●"/>
      <w:lvlJc w:val="left"/>
      <w:pPr>
        <w:ind w:left="720" w:hanging="360"/>
      </w:pPr>
    </w:lvl>
    <w:lvl w:ilvl="1" w:tplc="08FCEA86">
      <w:start w:val="1"/>
      <w:numFmt w:val="bullet"/>
      <w:lvlText w:val="○"/>
      <w:lvlJc w:val="left"/>
      <w:pPr>
        <w:ind w:left="1440" w:hanging="360"/>
      </w:pPr>
    </w:lvl>
    <w:lvl w:ilvl="2" w:tplc="D65053FE">
      <w:start w:val="1"/>
      <w:numFmt w:val="bullet"/>
      <w:lvlText w:val="■"/>
      <w:lvlJc w:val="left"/>
      <w:pPr>
        <w:ind w:left="2160" w:hanging="360"/>
      </w:pPr>
    </w:lvl>
    <w:lvl w:ilvl="3" w:tplc="C146146E">
      <w:start w:val="1"/>
      <w:numFmt w:val="bullet"/>
      <w:lvlText w:val="●"/>
      <w:lvlJc w:val="left"/>
      <w:pPr>
        <w:ind w:left="2880" w:hanging="360"/>
      </w:pPr>
    </w:lvl>
    <w:lvl w:ilvl="4" w:tplc="FF646764">
      <w:start w:val="1"/>
      <w:numFmt w:val="bullet"/>
      <w:lvlText w:val="○"/>
      <w:lvlJc w:val="left"/>
      <w:pPr>
        <w:ind w:left="3600" w:hanging="360"/>
      </w:pPr>
    </w:lvl>
    <w:lvl w:ilvl="5" w:tplc="D644932C">
      <w:start w:val="1"/>
      <w:numFmt w:val="bullet"/>
      <w:lvlText w:val="■"/>
      <w:lvlJc w:val="left"/>
      <w:pPr>
        <w:ind w:left="4320" w:hanging="360"/>
      </w:pPr>
    </w:lvl>
    <w:lvl w:ilvl="6" w:tplc="A93C0B30">
      <w:start w:val="1"/>
      <w:numFmt w:val="bullet"/>
      <w:lvlText w:val="●"/>
      <w:lvlJc w:val="left"/>
      <w:pPr>
        <w:ind w:left="5040" w:hanging="360"/>
      </w:pPr>
    </w:lvl>
    <w:lvl w:ilvl="7" w:tplc="738AED32">
      <w:start w:val="1"/>
      <w:numFmt w:val="bullet"/>
      <w:lvlText w:val="●"/>
      <w:lvlJc w:val="left"/>
      <w:pPr>
        <w:ind w:left="5760" w:hanging="360"/>
      </w:pPr>
    </w:lvl>
    <w:lvl w:ilvl="8" w:tplc="32BE0932">
      <w:start w:val="1"/>
      <w:numFmt w:val="bullet"/>
      <w:lvlText w:val="●"/>
      <w:lvlJc w:val="left"/>
      <w:pPr>
        <w:ind w:left="6480" w:hanging="360"/>
      </w:pPr>
    </w:lvl>
  </w:abstractNum>
  <w:num w:numId="1" w16cid:durableId="213597479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9F4"/>
    <w:rsid w:val="000D69D6"/>
    <w:rsid w:val="00102477"/>
    <w:rsid w:val="001E16A6"/>
    <w:rsid w:val="003409F4"/>
    <w:rsid w:val="00864516"/>
    <w:rsid w:val="00C620B4"/>
    <w:rsid w:val="00CE0901"/>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18A8"/>
  <w15:docId w15:val="{8798C60E-7EC0-4451-940A-BB9447D09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t-EE" w:eastAsia="et-E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paragraph" w:styleId="Pealkiri1">
    <w:name w:val="heading 1"/>
    <w:uiPriority w:val="9"/>
    <w:qFormat/>
    <w:pPr>
      <w:outlineLvl w:val="0"/>
    </w:pPr>
    <w:rPr>
      <w:color w:val="2E74B5"/>
      <w:sz w:val="32"/>
      <w:szCs w:val="32"/>
    </w:rPr>
  </w:style>
  <w:style w:type="paragraph" w:styleId="Pealkiri2">
    <w:name w:val="heading 2"/>
    <w:uiPriority w:val="9"/>
    <w:semiHidden/>
    <w:unhideWhenUsed/>
    <w:qFormat/>
    <w:pPr>
      <w:outlineLvl w:val="1"/>
    </w:pPr>
    <w:rPr>
      <w:color w:val="2E74B5"/>
      <w:sz w:val="26"/>
      <w:szCs w:val="26"/>
    </w:rPr>
  </w:style>
  <w:style w:type="paragraph" w:styleId="Pealkiri3">
    <w:name w:val="heading 3"/>
    <w:uiPriority w:val="9"/>
    <w:semiHidden/>
    <w:unhideWhenUsed/>
    <w:qFormat/>
    <w:pPr>
      <w:outlineLvl w:val="2"/>
    </w:pPr>
    <w:rPr>
      <w:color w:val="1F4D78"/>
      <w:sz w:val="24"/>
      <w:szCs w:val="24"/>
    </w:rPr>
  </w:style>
  <w:style w:type="paragraph" w:styleId="Pealkiri4">
    <w:name w:val="heading 4"/>
    <w:uiPriority w:val="9"/>
    <w:semiHidden/>
    <w:unhideWhenUsed/>
    <w:qFormat/>
    <w:pPr>
      <w:outlineLvl w:val="3"/>
    </w:pPr>
    <w:rPr>
      <w:i/>
      <w:iCs/>
      <w:color w:val="2E74B5"/>
    </w:rPr>
  </w:style>
  <w:style w:type="paragraph" w:styleId="Pealkiri5">
    <w:name w:val="heading 5"/>
    <w:uiPriority w:val="9"/>
    <w:semiHidden/>
    <w:unhideWhenUsed/>
    <w:qFormat/>
    <w:pPr>
      <w:outlineLvl w:val="4"/>
    </w:pPr>
    <w:rPr>
      <w:color w:val="2E74B5"/>
    </w:rPr>
  </w:style>
  <w:style w:type="paragraph" w:styleId="Pealkiri6">
    <w:name w:val="heading 6"/>
    <w:uiPriority w:val="9"/>
    <w:semiHidden/>
    <w:unhideWhenUsed/>
    <w:qFormat/>
    <w:pPr>
      <w:outlineLvl w:val="5"/>
    </w:pPr>
    <w:rPr>
      <w:color w:val="1F4D78"/>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Pealkiri">
    <w:name w:val="Title"/>
    <w:uiPriority w:val="10"/>
    <w:qFormat/>
    <w:rPr>
      <w:sz w:val="56"/>
      <w:szCs w:val="56"/>
    </w:rPr>
  </w:style>
  <w:style w:type="paragraph" w:customStyle="1" w:styleId="Strong1">
    <w:name w:val="Strong1"/>
    <w:qFormat/>
    <w:rPr>
      <w:b/>
      <w:bCs/>
    </w:rPr>
  </w:style>
  <w:style w:type="paragraph" w:styleId="Loendilik">
    <w:name w:val="List Paragraph"/>
    <w:qFormat/>
  </w:style>
  <w:style w:type="character" w:styleId="Hperlink">
    <w:name w:val="Hyperlink"/>
    <w:uiPriority w:val="99"/>
    <w:unhideWhenUsed/>
    <w:rPr>
      <w:color w:val="0563C1"/>
      <w:u w:val="single"/>
    </w:rPr>
  </w:style>
  <w:style w:type="character" w:styleId="Allmrkuseviide">
    <w:name w:val="footnote reference"/>
    <w:uiPriority w:val="99"/>
    <w:semiHidden/>
    <w:unhideWhenUsed/>
    <w:rPr>
      <w:vertAlign w:val="superscript"/>
    </w:rPr>
  </w:style>
  <w:style w:type="paragraph" w:styleId="Allmrkusetekst">
    <w:name w:val="footnote text"/>
    <w:link w:val="AllmrkusetekstMrk"/>
    <w:uiPriority w:val="99"/>
    <w:semiHidden/>
    <w:unhideWhenUsed/>
  </w:style>
  <w:style w:type="character" w:customStyle="1" w:styleId="AllmrkusetekstMrk">
    <w:name w:val="Allmärkuse tekst Märk"/>
    <w:link w:val="Allmrkusetekst"/>
    <w:uiPriority w:val="99"/>
    <w:semiHidden/>
    <w:unhideWhenUsed/>
    <w:rPr>
      <w:sz w:val="20"/>
      <w:szCs w:val="20"/>
    </w:rPr>
  </w:style>
  <w:style w:type="character" w:styleId="Lpumrkuseviide">
    <w:name w:val="endnote reference"/>
    <w:uiPriority w:val="99"/>
    <w:semiHidden/>
    <w:unhideWhenUsed/>
    <w:rPr>
      <w:vertAlign w:val="superscript"/>
    </w:rPr>
  </w:style>
  <w:style w:type="paragraph" w:styleId="Lpumrkusetekst">
    <w:name w:val="endnote text"/>
    <w:link w:val="LpumrkusetekstMrk"/>
    <w:uiPriority w:val="99"/>
    <w:semiHidden/>
    <w:unhideWhenUsed/>
  </w:style>
  <w:style w:type="character" w:customStyle="1" w:styleId="LpumrkusetekstMrk">
    <w:name w:val="Lõpumärkuse tekst Märk"/>
    <w:link w:val="Lpumrkuseteks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1909e2a-bf46-4f2a-9bad-b55c1a117ba6">
      <Terms xmlns="http://schemas.microsoft.com/office/infopath/2007/PartnerControls"/>
    </lcf76f155ced4ddcb4097134ff3c332f>
    <TaxCatchAll xmlns="f929d557-00db-4b2e-8af0-09be52639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0DD622C4DAA141900ACB89770A7D8E" ma:contentTypeVersion="13" ma:contentTypeDescription="Loo uus dokument" ma:contentTypeScope="" ma:versionID="67d1d4030410334f5f9a8143fe8cbe75">
  <xsd:schema xmlns:xsd="http://www.w3.org/2001/XMLSchema" xmlns:xs="http://www.w3.org/2001/XMLSchema" xmlns:p="http://schemas.microsoft.com/office/2006/metadata/properties" xmlns:ns2="81909e2a-bf46-4f2a-9bad-b55c1a117ba6" xmlns:ns3="f929d557-00db-4b2e-8af0-09be526392a5" targetNamespace="http://schemas.microsoft.com/office/2006/metadata/properties" ma:root="true" ma:fieldsID="f14537c81c5470970f2e40aed1c7018e" ns2:_="" ns3:_="">
    <xsd:import namespace="81909e2a-bf46-4f2a-9bad-b55c1a117ba6"/>
    <xsd:import namespace="f929d557-00db-4b2e-8af0-09be526392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909e2a-bf46-4f2a-9bad-b55c1a117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Pildisildid" ma:readOnly="false" ma:fieldId="{5cf76f15-5ced-4ddc-b409-7134ff3c332f}" ma:taxonomyMulti="true" ma:sspId="e666ce6e-26c3-46ea-97bd-95eccab947b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29d557-00db-4b2e-8af0-09be526392a5" elementFormDefault="qualified">
    <xsd:import namespace="http://schemas.microsoft.com/office/2006/documentManagement/types"/>
    <xsd:import namespace="http://schemas.microsoft.com/office/infopath/2007/PartnerControls"/>
    <xsd:element name="TaxCatchAll" ma:index="18" nillable="true" ma:displayName="Taksonoomia – üldhõive veerg" ma:hidden="true" ma:list="{91685d65-3c39-4a15-bddf-2c49af0e2ff9}" ma:internalName="TaxCatchAll" ma:showField="CatchAllData" ma:web="f929d557-00db-4b2e-8af0-09be526392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4B35A4-F477-4A84-9744-FCE05CAB44AC}">
  <ds:schemaRefs>
    <ds:schemaRef ds:uri="http://schemas.microsoft.com/office/2006/metadata/properties"/>
    <ds:schemaRef ds:uri="http://schemas.microsoft.com/office/infopath/2007/PartnerControls"/>
    <ds:schemaRef ds:uri="81909e2a-bf46-4f2a-9bad-b55c1a117ba6"/>
    <ds:schemaRef ds:uri="f929d557-00db-4b2e-8af0-09be526392a5"/>
  </ds:schemaRefs>
</ds:datastoreItem>
</file>

<file path=customXml/itemProps2.xml><?xml version="1.0" encoding="utf-8"?>
<ds:datastoreItem xmlns:ds="http://schemas.openxmlformats.org/officeDocument/2006/customXml" ds:itemID="{0C140947-872D-4A09-BA14-58DC20758A39}">
  <ds:schemaRefs>
    <ds:schemaRef ds:uri="http://schemas.microsoft.com/sharepoint/v3/contenttype/forms"/>
  </ds:schemaRefs>
</ds:datastoreItem>
</file>

<file path=customXml/itemProps3.xml><?xml version="1.0" encoding="utf-8"?>
<ds:datastoreItem xmlns:ds="http://schemas.openxmlformats.org/officeDocument/2006/customXml" ds:itemID="{82E31E19-6026-4886-9B2D-848E11BC5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909e2a-bf46-4f2a-9bad-b55c1a117ba6"/>
    <ds:schemaRef ds:uri="f929d557-00db-4b2e-8af0-09be52639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460</Words>
  <Characters>2671</Characters>
  <Application>Microsoft Office Word</Application>
  <DocSecurity>0</DocSecurity>
  <Lines>22</Lines>
  <Paragraphs>6</Paragraphs>
  <ScaleCrop>false</ScaleCrop>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Kaitti Persidski</cp:lastModifiedBy>
  <cp:revision>6</cp:revision>
  <dcterms:created xsi:type="dcterms:W3CDTF">2026-09-16T18:05:00Z</dcterms:created>
  <dcterms:modified xsi:type="dcterms:W3CDTF">2026-10-28T10:47:00Z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0x010100B60DD622C4DAA141900ACB89770A7D8E</vt:lpwstr>
  </property>
  <property fmtid="{D5CDD505-2E9C-101B-9397-08002B2CF9AE}" pid="3" name="MediaServiceImageTags">
    <vt:lpwstr/>
  </property>
</Properties>
</file>